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Normal1"/>
        <w:spacing w:lineRule="auto" w:line="360" w:before="0" w:after="200"/>
        <w:jc w:val="center"/>
        <w:rPr>
          <w:rFonts w:cs="Arial"/>
          <w:b/>
          <w:color w:val="004588"/>
          <w:sz w:val="22"/>
          <w:szCs w:val="22"/>
        </w:rPr>
      </w:pPr>
      <w:r>
        <w:rPr>
          <w:rFonts w:cs="Arial"/>
          <w:b/>
          <w:color w:val="004588"/>
          <w:sz w:val="22"/>
          <w:szCs w:val="22"/>
        </w:rPr>
        <w:t>Família de Sistema: Tribunais</w:t>
      </w:r>
    </w:p>
    <w:p>
      <w:pPr>
        <w:pStyle w:val="Normal1"/>
        <w:spacing w:lineRule="auto" w:line="360" w:before="0" w:after="200"/>
        <w:jc w:val="center"/>
        <w:rPr>
          <w:rFonts w:cs="Arial"/>
          <w:b/>
          <w:color w:val="004588"/>
          <w:sz w:val="22"/>
          <w:szCs w:val="22"/>
        </w:rPr>
      </w:pPr>
      <w:r>
        <w:rPr>
          <w:rFonts w:cs="Arial"/>
          <w:b/>
          <w:color w:val="004588"/>
          <w:sz w:val="22"/>
          <w:szCs w:val="22"/>
        </w:rPr>
        <w:t>Sistema: SG5</w:t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 w:before="0" w:after="200"/>
        <w:rPr>
          <w:rFonts w:cs="Arial"/>
        </w:rPr>
      </w:pPr>
      <w:r>
        <w:rPr>
          <w:rFonts w:cs="Arial"/>
        </w:rPr>
      </w:r>
      <w:bookmarkStart w:id="0" w:name="SP_ERS_MES_ANO"/>
      <w:bookmarkStart w:id="1" w:name="SP_ERS_MES_ANO"/>
      <w:bookmarkEnd w:id="1"/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rPr>
          <w:rFonts w:cs="Arial"/>
        </w:rPr>
      </w:pPr>
      <w:r>
        <w:rPr>
          <w:rFonts w:cs="Arial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rPr/>
          </w:pPr>
          <w:r>
            <w:fldChar w:fldCharType="begin"/>
          </w:r>
          <w:r>
            <w:rPr>
              <w:rStyle w:val="Vnculodendice"/>
            </w:rPr>
            <w:instrText xml:space="preserve"> TOC \o "1-9" \h</w:instrText>
          </w:r>
          <w:r>
            <w:rPr>
              <w:rStyle w:val="Vnculodendice"/>
            </w:rPr>
            <w:fldChar w:fldCharType="separate"/>
          </w:r>
          <w:hyperlink w:anchor="__RefHeading___Toc256000009">
            <w:r>
              <w:rPr>
                <w:rStyle w:val="Vnculodendice"/>
              </w:rPr>
              <w:t>1. Introdução</w:t>
            </w:r>
            <w:r>
              <w:rPr>
                <w:rStyle w:val="Vnculodendice"/>
              </w:rPr>
              <w:tab/>
              <w:t>2</w:t>
            </w:r>
          </w:hyperlink>
        </w:p>
        <w:p>
          <w:pPr>
            <w:pStyle w:val="TOC1"/>
            <w:rPr/>
          </w:pPr>
          <w:hyperlink w:anchor="__RefHeading___Toc256000010">
            <w:r>
              <w:rPr>
                <w:rStyle w:val="Vnculodendice"/>
              </w:rPr>
              <w:t>2. Dados do roteiro</w:t>
              <w:tab/>
              <w:t>2</w:t>
            </w:r>
          </w:hyperlink>
        </w:p>
        <w:p>
          <w:pPr>
            <w:pStyle w:val="TOC1"/>
            <w:rPr/>
          </w:pPr>
          <w:hyperlink w:anchor="__RefHeading___Toc1276_2517143958">
            <w:r>
              <w:rPr>
                <w:rStyle w:val="Vnculodendice"/>
              </w:rPr>
              <w:t>3. Scripts de banco de dados</w:t>
              <w:tab/>
              <w:t>3</w:t>
            </w:r>
          </w:hyperlink>
        </w:p>
        <w:p>
          <w:pPr>
            <w:pStyle w:val="TOC1"/>
            <w:rPr/>
          </w:pPr>
          <w:hyperlink w:anchor="__RefHeading___Toc3525_3994948854">
            <w:r>
              <w:rPr>
                <w:rStyle w:val="Vnculodendice"/>
              </w:rPr>
              <w:t>4. Parâmetro de liga/desliga</w:t>
              <w:tab/>
              <w:t>3</w:t>
            </w:r>
          </w:hyperlink>
        </w:p>
        <w:p>
          <w:pPr>
            <w:pStyle w:val="TOC1"/>
            <w:rPr/>
          </w:pPr>
          <w:hyperlink w:anchor="__RefHeading___Toc3527_3994948854">
            <w:r>
              <w:rPr>
                <w:rStyle w:val="Vnculodendice"/>
              </w:rPr>
              <w:t>5. Parâmetros de sistema</w:t>
              <w:tab/>
              <w:t>4</w:t>
            </w:r>
          </w:hyperlink>
        </w:p>
        <w:p>
          <w:pPr>
            <w:pStyle w:val="TOC1"/>
            <w:rPr/>
          </w:pPr>
          <w:hyperlink w:anchor="__RefHeading___Toc3529_3994948854">
            <w:r>
              <w:rPr>
                <w:rStyle w:val="Vnculodendice"/>
              </w:rPr>
              <w:t>6. Funções de Segurança/Autorizações</w:t>
              <w:tab/>
              <w:t>4</w:t>
            </w:r>
          </w:hyperlink>
        </w:p>
        <w:p>
          <w:pPr>
            <w:pStyle w:val="TOC1"/>
            <w:rPr/>
          </w:pPr>
          <w:hyperlink w:anchor="__RefHeading___Toc3531_3994948854">
            <w:r>
              <w:rPr>
                <w:rStyle w:val="Vnculodendice"/>
              </w:rPr>
              <w:t>7. Rotinas Saj At/Sit</w:t>
              <w:tab/>
              <w:t>5</w:t>
            </w:r>
          </w:hyperlink>
        </w:p>
        <w:p>
          <w:pPr>
            <w:pStyle w:val="TOC1"/>
            <w:rPr/>
          </w:pPr>
          <w:hyperlink w:anchor="__RefHeading___Toc3533_3994948854">
            <w:r>
              <w:rPr>
                <w:rStyle w:val="Vnculodendice"/>
              </w:rPr>
              <w:t>8. Api’s</w:t>
              <w:tab/>
              <w:t>5</w:t>
            </w:r>
          </w:hyperlink>
        </w:p>
        <w:p>
          <w:pPr>
            <w:pStyle w:val="TOC1"/>
            <w:rPr/>
          </w:pPr>
          <w:hyperlink w:anchor="__RefHeading___Toc3537_3994948854">
            <w:r>
              <w:rPr>
                <w:rStyle w:val="Vnculodendice"/>
              </w:rPr>
              <w:t>9. Configurações</w:t>
              <w:tab/>
              <w:t>5</w:t>
            </w:r>
          </w:hyperlink>
        </w:p>
        <w:p>
          <w:pPr>
            <w:pStyle w:val="TOC1"/>
            <w:rPr/>
          </w:pPr>
          <w:hyperlink w:anchor="__RefHeading___Toc3539_3994948854">
            <w:r>
              <w:rPr>
                <w:rStyle w:val="Vnculodendice"/>
              </w:rPr>
              <w:t>10. Revisão</w:t>
              <w:tab/>
              <w:t>6</w:t>
            </w:r>
          </w:hyperlink>
          <w:r>
            <w:rPr>
              <w:rStyle w:val="Vnculodendice"/>
            </w:rPr>
            <w:fldChar w:fldCharType="end"/>
          </w:r>
        </w:p>
      </w:sdtContent>
    </w:sdt>
    <w:p>
      <w:pPr>
        <w:pStyle w:val="Standard"/>
        <w:spacing w:lineRule="auto" w:line="360" w:before="0" w:after="200"/>
        <w:rPr/>
      </w:pPr>
      <w:r>
        <w:rPr/>
      </w:r>
    </w:p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2" w:name="__RefHeading___Toc256000009"/>
      <w:bookmarkEnd w:id="2"/>
      <w:r>
        <w:rPr>
          <w:rFonts w:cs="Arial"/>
          <w:sz w:val="22"/>
          <w:szCs w:val="22"/>
        </w:rPr>
        <w:t>1. Introdução</w:t>
      </w:r>
    </w:p>
    <w:p>
      <w:pPr>
        <w:pStyle w:val="Standard"/>
        <w:spacing w:lineRule="auto" w:line="360"/>
        <w:jc w:val="both"/>
        <w:rPr/>
      </w:pPr>
      <w:r>
        <w:rPr>
          <w:rFonts w:cs="Arial"/>
          <w:shd w:fill="FFFFFF" w:val="clear"/>
        </w:rPr>
        <w:tab/>
        <w:t xml:space="preserve">Este documento tem como objetivo orientar na implantação da demanda ERS-PUB-SAJ-SG5.2024.457616 – Evolução Interna (Liberação de Peças nos Autos em Segundo Plano – SG), que tem por objetivo permitir que a liberação de documentos nos autos seja realizada em segundo plano, a partir do acionamento da atividade configurada com a operação </w:t>
      </w:r>
      <w:r>
        <w:rPr>
          <w:rFonts w:cs="Arial"/>
          <w:b/>
          <w:bCs/>
          <w:shd w:fill="FFFFFF" w:val="clear"/>
        </w:rPr>
        <w:t>“Assinar e liberar nos autos”</w:t>
      </w:r>
      <w:r>
        <w:rPr>
          <w:rFonts w:cs="Arial"/>
          <w:shd w:fill="FFFFFF" w:val="clear"/>
        </w:rPr>
        <w:t xml:space="preserve">.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>Dado que foi selecionado dois ou mais documentos no fluxo de trabalho (lote)</w:t>
        <w:br/>
        <w:t xml:space="preserve">E o sistema está configurado para realizar a assinatura assíncrona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 xml:space="preserve">Quando acionada a atividade de finalização de documentos configurada com a operação “Assinar e liberar nos autos” </w:t>
      </w:r>
    </w:p>
    <w:p>
      <w:pPr>
        <w:pStyle w:val="Standard"/>
        <w:spacing w:lineRule="auto" w:line="360" w:before="0" w:after="0"/>
        <w:jc w:val="start"/>
        <w:rPr/>
      </w:pPr>
      <w:r>
        <w:rPr>
          <w:rFonts w:cs="Arial"/>
          <w:shd w:fill="FFFFFF" w:val="clear"/>
        </w:rPr>
        <w:t xml:space="preserve">Então a assinatura dos documentos inicia na máquina do usuário </w:t>
        <w:br/>
        <w:t>E a liberação nos autos é processada de forma assíncrona pelo RabbitMq</w:t>
      </w:r>
    </w:p>
    <w:p>
      <w:pPr>
        <w:pStyle w:val="Standard"/>
        <w:spacing w:lineRule="auto" w:line="360" w:before="0" w:after="0"/>
        <w:jc w:val="start"/>
        <w:rPr>
          <w:rFonts w:cs="Arial"/>
          <w:shd w:fill="FFFFFF" w:val="clear"/>
        </w:rPr>
      </w:pPr>
      <w:r>
        <w:rPr>
          <w:rFonts w:cs="Arial"/>
          <w:shd w:fill="FFFFFF" w:val="clear"/>
        </w:rPr>
      </w:r>
    </w:p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3" w:name="__RefHeading___Toc256000010"/>
      <w:bookmarkEnd w:id="3"/>
      <w:r>
        <w:rPr>
          <w:rFonts w:cs="Arial"/>
          <w:sz w:val="22"/>
          <w:szCs w:val="22"/>
        </w:rPr>
        <w:t>2. Dados do roteiro</w:t>
      </w:r>
    </w:p>
    <w:tbl>
      <w:tblPr>
        <w:tblW w:w="11405" w:type="dxa"/>
        <w:jc w:val="start"/>
        <w:tblInd w:w="6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0"/>
        <w:gridCol w:w="9704"/>
      </w:tblGrid>
      <w:tr>
        <w:trPr/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Funcionalidade:</w:t>
            </w:r>
          </w:p>
        </w:tc>
        <w:tc>
          <w:tcPr>
            <w:tcW w:w="9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60" w:after="60"/>
              <w:jc w:val="both"/>
              <w:rPr>
                <w:rFonts w:cs="Times New Roman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</w:rPr>
              <w:t>Expedientes</w:t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Origem:</w:t>
            </w:r>
          </w:p>
        </w:tc>
        <w:tc>
          <w:tcPr>
            <w:tcW w:w="97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spacing w:lineRule="auto" w:line="360" w:before="0" w:after="160"/>
              <w:jc w:val="both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  <w:t>ERS-PUB-SAJ-SG5.2024.457616 - Evolução Interna (Liberação de Peças nos Autos em Segundo Plano - SG)</w:t>
            </w:r>
          </w:p>
        </w:tc>
      </w:tr>
      <w:tr>
        <w:trPr/>
        <w:tc>
          <w:tcPr>
            <w:tcW w:w="1700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tulodeCampo"/>
              <w:widowControl w:val="false"/>
              <w:spacing w:lineRule="auto" w:line="360" w:before="60" w:after="60"/>
              <w:rPr>
                <w:rFonts w:ascii="Calibri" w:hAnsi="Calibri" w:cs="Verdana"/>
                <w:bCs/>
                <w:i w:val="false"/>
                <w:i w:val="false"/>
                <w:color w:val="000000"/>
                <w:szCs w:val="22"/>
                <w:lang w:val="pt-BR"/>
              </w:rPr>
            </w:pPr>
            <w:r>
              <w:rPr>
                <w:rFonts w:cs="Verdana" w:ascii="Calibri" w:hAnsi="Calibri"/>
                <w:bCs/>
                <w:i w:val="false"/>
                <w:color w:val="000000"/>
                <w:szCs w:val="22"/>
                <w:lang w:val="pt-BR"/>
              </w:rPr>
              <w:t>SCCD / Evolução:</w:t>
            </w:r>
          </w:p>
        </w:tc>
        <w:tc>
          <w:tcPr>
            <w:tcW w:w="97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spacing w:lineRule="auto" w:line="360" w:before="0" w:after="160"/>
              <w:jc w:val="both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  <w:t>457616</w:t>
            </w:r>
          </w:p>
        </w:tc>
      </w:tr>
    </w:tbl>
    <w:p>
      <w:pPr>
        <w:pStyle w:val="Heading1"/>
        <w:spacing w:lineRule="auto" w:line="360"/>
        <w:ind w:hanging="0" w:start="0"/>
        <w:rPr>
          <w:rFonts w:cs="Arial"/>
          <w:sz w:val="22"/>
          <w:szCs w:val="22"/>
        </w:rPr>
      </w:pPr>
      <w:bookmarkStart w:id="4" w:name="__RefHeading___Toc1276_2517143958"/>
      <w:bookmarkEnd w:id="4"/>
      <w:r>
        <w:rPr>
          <w:rFonts w:cs="Arial"/>
          <w:sz w:val="22"/>
          <w:szCs w:val="22"/>
        </w:rPr>
        <w:t>3. Scripts de banco de dados</w:t>
      </w:r>
    </w:p>
    <w:tbl>
      <w:tblPr>
        <w:tblW w:w="11400" w:type="dxa"/>
        <w:jc w:val="start"/>
        <w:tblInd w:w="5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695"/>
        <w:gridCol w:w="5704"/>
      </w:tblGrid>
      <w:tr>
        <w:trPr/>
        <w:tc>
          <w:tcPr>
            <w:tcW w:w="569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color w:val="000000"/>
              </w:rPr>
              <w:t>PG007654.DH4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>
                <w:color w:val="000000"/>
              </w:rPr>
              <w:t>Criar sistema do processamento paralelo nas funções de segurança.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/>
              <w:t>PG007585.DH4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/>
              <w:t>Criar função de segurança para permite liberar objetos com erros no processamento paralelo iniciado por outro usuário.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/>
              <w:t>SP4000157.DH4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/>
              <w:t>Criar função de segurança para liberar documentos em processamento que estão em nome de outro usuário.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color w:val="000000"/>
              </w:rPr>
              <w:t>PG025325.DH4</w:t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/>
            </w:pPr>
            <w:r>
              <w:rPr>
                <w:color w:val="000000"/>
              </w:rPr>
              <w:t>Criar as chaves de configuração para a liberação em segundo plano na EPADCONFIGSERVIDOR.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color w:val="000000"/>
              </w:rPr>
              <w:t>LIBERACAO_EM_SEGUNDO_PLANO.ATIVO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color w:val="000000"/>
              </w:rPr>
              <w:t>LIBERACAO_EM_SEGUNDO_PLANO.USUARIOS</w:t>
            </w:r>
          </w:p>
        </w:tc>
      </w:tr>
      <w:tr>
        <w:trPr>
          <w:trHeight w:val="1389" w:hRule="atLeast"/>
        </w:trPr>
        <w:tc>
          <w:tcPr>
            <w:tcW w:w="56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EDT000626.DH4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Entidade temporária finalização segundo plano.</w:t>
            </w:r>
          </w:p>
        </w:tc>
      </w:tr>
    </w:tbl>
    <w:p>
      <w:pPr>
        <w:pStyle w:val="Textbody"/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  <w:t>Observação: Sem observações adicionais.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5" w:name="__RefHeading___Toc3525_3994948854"/>
      <w:bookmarkEnd w:id="5"/>
      <w:r>
        <w:rPr/>
        <w:t>4. Parâmetro de liga/desliga</w:t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rPr>
          <w:rFonts w:cs="Arial"/>
        </w:rPr>
      </w:pPr>
      <w:r>
        <w:rPr>
          <w:rFonts w:cs="Arial"/>
        </w:rPr>
        <w:tab/>
        <w:t xml:space="preserve">Foram criadas duas novas chaves na EPADCONFIGSERVIDOR. A chave </w:t>
      </w:r>
      <w:r>
        <w:rPr>
          <w:rFonts w:cs="Arial"/>
          <w:color w:val="000000"/>
        </w:rPr>
        <w:t>LIBERACAO_EM_SEGUNDO_PLANO.ATIVO define se a nova funcionalidade será utilizada ou não. Inserir TRUE para habilitar para todos, USUARIO para habilitar apenas para usuários configurados e FALSE para desativar a assinatura assíncrona.</w:t>
      </w:r>
    </w:p>
    <w:p>
      <w:pPr>
        <w:pStyle w:val="Standard"/>
        <w:rPr>
          <w:rFonts w:cs="Arial"/>
        </w:rPr>
      </w:pPr>
      <w:r>
        <w:rPr>
          <w:rFonts w:cs="Arial"/>
          <w:color w:val="000000"/>
        </w:rPr>
        <w:tab/>
        <w:t>Caso seja informado o valor USUARIO a chave LIBERACAO_EM_SEGUNDO_PLANO.USUARIOS também deve ser configurada com os usuários separados por vírgula que utilizarão a funcionalidade.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Com a chave ligada, ao assinar e liberar um documento via fluxo (Atividade de assinatura e liberação) a assinatura será realizada da maneira que já é feita hoje e a liberação do documento será realizada em segundo plano (Via RabbitMq).</w:t>
      </w:r>
    </w:p>
    <w:tbl>
      <w:tblPr>
        <w:tblW w:w="11377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07"/>
        <w:gridCol w:w="4766"/>
        <w:gridCol w:w="2204"/>
      </w:tblGrid>
      <w:tr>
        <w:trPr/>
        <w:tc>
          <w:tcPr>
            <w:tcW w:w="44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Código</w:t>
            </w:r>
          </w:p>
        </w:tc>
        <w:tc>
          <w:tcPr>
            <w:tcW w:w="4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Descrição</w:t>
            </w:r>
          </w:p>
        </w:tc>
        <w:tc>
          <w:tcPr>
            <w:tcW w:w="2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jc w:val="center"/>
              <w:rPr/>
            </w:pPr>
            <w:r>
              <w:rPr>
                <w:rFonts w:cs="Arial"/>
              </w:rPr>
              <w:t>Valores</w:t>
            </w:r>
          </w:p>
        </w:tc>
      </w:tr>
      <w:tr>
        <w:trPr/>
        <w:tc>
          <w:tcPr>
            <w:tcW w:w="44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cs="Arial"/>
                <w:color w:val="000000"/>
              </w:rPr>
              <w:t>LIBERACAO_EM_SEGUNDO_PLANO.ATIVO</w:t>
            </w:r>
          </w:p>
        </w:tc>
        <w:tc>
          <w:tcPr>
            <w:tcW w:w="47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rPr>
                <w:rFonts w:cs="Arial"/>
              </w:rPr>
            </w:pPr>
            <w:r>
              <w:rPr>
                <w:rFonts w:cs="Arial"/>
              </w:rPr>
              <w:t>Habilita a liberação de documentos em segundo plano. Opções disponíveis: "TRUE", "FALSE" ou "USUARIO". Para a opção "USUARIO" será necessário configurar a chave "LIBERACAO_EM_SEGUNDO_PLANO.USUARIOS".</w:t>
            </w:r>
          </w:p>
        </w:tc>
        <w:tc>
          <w:tcPr>
            <w:tcW w:w="2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>
                <w:rFonts w:cs="Arial"/>
              </w:rPr>
              <w:t>- TRUE;</w:t>
            </w:r>
          </w:p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>
                <w:rFonts w:cs="Arial"/>
              </w:rPr>
              <w:t>- FALSE;</w:t>
              <w:br/>
              <w:t>- USUARIO;</w:t>
            </w:r>
          </w:p>
        </w:tc>
      </w:tr>
      <w:tr>
        <w:trPr/>
        <w:tc>
          <w:tcPr>
            <w:tcW w:w="44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/>
              <w:suppressAutoHyphens w:val="true"/>
              <w:overflowPunct w:val="true"/>
              <w:bidi w:val="0"/>
              <w:spacing w:lineRule="auto" w:line="247" w:before="0" w:after="160"/>
              <w:jc w:val="start"/>
              <w:textAlignment w:val="baseline"/>
              <w:rPr/>
            </w:pPr>
            <w:r>
              <w:rPr/>
              <w:t>LIBERACAO_EM_SEGUNDO_PLANO.USUARIOS</w:t>
            </w:r>
          </w:p>
        </w:tc>
        <w:tc>
          <w:tcPr>
            <w:tcW w:w="47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before="0" w:after="160"/>
              <w:rPr>
                <w:rFonts w:cs="Arial"/>
              </w:rPr>
            </w:pPr>
            <w:r>
              <w:rPr>
                <w:rFonts w:cs="Arial"/>
              </w:rPr>
              <w:t>Lista de usuários para realizar liberação em segundo plano. Informar o código do usuário separado por vírgula.</w:t>
            </w:r>
          </w:p>
        </w:tc>
        <w:tc>
          <w:tcPr>
            <w:tcW w:w="220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0"/>
              <w:jc w:val="start"/>
              <w:rPr/>
            </w:pPr>
            <w:r>
              <w:rPr/>
              <w:t>USUARIO1,USUARIO2,USUARIO3..</w:t>
            </w:r>
          </w:p>
        </w:tc>
      </w:tr>
    </w:tbl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6" w:name="__RefHeading___Toc3527_3994948854"/>
      <w:bookmarkEnd w:id="6"/>
      <w:r>
        <w:rPr/>
        <w:t>5. Parâmetros de sistema</w:t>
      </w:r>
    </w:p>
    <w:p>
      <w:pPr>
        <w:pStyle w:val="Standard"/>
        <w:jc w:val="start"/>
        <w:rPr/>
      </w:pPr>
      <w:r>
        <w:rPr/>
        <w:tab/>
        <w:t>Esta demanda não possui novos parâmetros de sistema.</w:t>
      </w:r>
    </w:p>
    <w:p>
      <w:pPr>
        <w:pStyle w:val="Standard"/>
        <w:jc w:val="start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widowControl w:val="false"/>
        <w:spacing w:lineRule="auto" w:line="360" w:before="0" w:after="160"/>
        <w:ind w:hanging="0" w:start="0"/>
        <w:jc w:val="start"/>
        <w:rPr>
          <w:rFonts w:cs="Arial"/>
          <w:b/>
          <w:bCs/>
        </w:rPr>
      </w:pPr>
      <w:bookmarkStart w:id="7" w:name="__RefHeading___Toc3529_3994948854"/>
      <w:bookmarkEnd w:id="7"/>
      <w:r>
        <w:rPr/>
        <w:t>6. Funções de Segurança/Autorizações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 xml:space="preserve">Com a implementação da liberação em segundo plano no SG5 trouxemos duas funções de segurança do processamento paralelo (PG5). Com elas é possível liberar objetos com erro e em processamento de outros usuários, mantendo assim o mesmo comportamento do sistema do PG5. As funções serão criadas através da execução dos scripts: </w:t>
      </w:r>
      <w:r>
        <w:rPr>
          <w:rFonts w:cs="Arial"/>
          <w:color w:val="000000"/>
        </w:rPr>
        <w:t xml:space="preserve">PG007654.DH4, </w:t>
      </w:r>
      <w:r>
        <w:rPr>
          <w:rFonts w:cs="Arial"/>
          <w:b w:val="false"/>
          <w:bCs w:val="false"/>
          <w:color w:val="000000"/>
        </w:rPr>
        <w:t>PG007585.DH4 e SP4000157.DH4.</w:t>
      </w:r>
      <w:r>
        <w:rPr>
          <w:rFonts w:cs="Arial"/>
        </w:rPr>
        <w:br/>
      </w:r>
    </w:p>
    <w:p>
      <w:pPr>
        <w:pStyle w:val="Standard"/>
        <w:rPr>
          <w:rFonts w:cs="Arial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57470" cy="3102610"/>
            <wp:effectExtent l="0" t="0" r="0" b="0"/>
            <wp:wrapSquare wrapText="largest"/>
            <wp:docPr id="1" name="Figura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ab/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"/>
        <w:ind w:hanging="0" w:start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8" w:name="__RefHeading___Toc3531_3994948854"/>
      <w:bookmarkEnd w:id="8"/>
      <w:r>
        <w:rPr/>
        <w:t>7. Rotinas Saj At/Sit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Esta demanda não possui novas rotinas SAJ AT/SIT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  <w:b/>
          <w:bCs/>
        </w:rPr>
      </w:pPr>
      <w:bookmarkStart w:id="9" w:name="__RefHeading___Toc3533_3994948854"/>
      <w:bookmarkEnd w:id="9"/>
      <w:r>
        <w:rPr/>
        <w:t>8. Api’s</w:t>
      </w:r>
    </w:p>
    <w:p>
      <w:pPr>
        <w:pStyle w:val="Standard"/>
        <w:rPr>
          <w:rFonts w:cs="Arial"/>
        </w:rPr>
      </w:pPr>
      <w:r>
        <w:rPr>
          <w:rFonts w:cs="Arial"/>
        </w:rPr>
        <w:tab/>
        <w:t>Esta demanda não possui novas API’s.</w:t>
      </w:r>
    </w:p>
    <w:p>
      <w:pPr>
        <w:pStyle w:val="Standard"/>
        <w:rPr>
          <w:rFonts w:cs="Arial"/>
        </w:rPr>
      </w:pPr>
      <w:r>
        <w:rPr>
          <w:rFonts w:cs="Arial"/>
        </w:rPr>
      </w:r>
    </w:p>
    <w:p>
      <w:pPr>
        <w:pStyle w:val="Heading1"/>
        <w:ind w:hanging="0" w:start="0"/>
        <w:rPr>
          <w:rFonts w:cs="Arial"/>
        </w:rPr>
      </w:pPr>
      <w:bookmarkStart w:id="10" w:name="__RefHeading___Toc3537_3994948854"/>
      <w:bookmarkEnd w:id="10"/>
      <w:r>
        <w:rPr/>
        <w:t>9. Configurações</w:t>
      </w:r>
    </w:p>
    <w:p>
      <w:pPr>
        <w:pStyle w:val="Standard"/>
        <w:ind w:hanging="0" w:start="0"/>
        <w:rPr>
          <w:rFonts w:cs="Arial"/>
        </w:rPr>
      </w:pPr>
      <w:r>
        <w:rPr>
          <w:rFonts w:cs="Arial"/>
        </w:rPr>
      </w:r>
    </w:p>
    <w:p>
      <w:pPr>
        <w:pStyle w:val="Standard"/>
        <w:ind w:hanging="0" w:start="0"/>
        <w:rPr>
          <w:rFonts w:cs="Arial"/>
        </w:rPr>
      </w:pPr>
      <w:r>
        <w:rPr>
          <w:rFonts w:cs="Arial"/>
        </w:rPr>
        <w:t>RabbitMQ</w:t>
      </w:r>
    </w:p>
    <w:p>
      <w:pPr>
        <w:pStyle w:val="Standard"/>
        <w:rPr/>
      </w:pPr>
      <w:r>
        <w:rPr/>
        <w:tab/>
        <w:t xml:space="preserve">A chave LIBERACAO_EM_SEGUNDO_PLANO.ATIVO com o valor </w:t>
      </w:r>
      <w:r>
        <w:rPr>
          <w:b/>
          <w:bCs/>
        </w:rPr>
        <w:t>TRUE</w:t>
      </w:r>
      <w:r>
        <w:rPr/>
        <w:t xml:space="preserve"> habilita a funcionalidade para todos os usuários. </w:t>
      </w:r>
    </w:p>
    <w:p>
      <w:pPr>
        <w:pStyle w:val="Standard"/>
        <w:rPr/>
      </w:pPr>
      <w:r>
        <w:rPr/>
        <w:tab/>
        <w:t>Para habilitar a funcionalidade para apenas alguns usuários, preencher a chave LIBERACAO_EM_SEGUNDO_PLANO.ATIVO com o valor USUARIO e informar quais serão os usuários (CDUSUARIO separados por vírgula) na chave LIBERACAO_EM_SEGUNDO_PLANO.USUARIOS. Ex.: USUARIO1,USUARIO2,USUARIO3…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bookmarkStart w:id="11" w:name="__RefHeading___Toc3537_3994948854_Copia_"/>
      <w:bookmarkEnd w:id="11"/>
      <w:r>
        <w:rPr/>
        <w:t xml:space="preserve">RabbitMq: </w:t>
      </w:r>
    </w:p>
    <w:p>
      <w:pPr>
        <w:pStyle w:val="Standard"/>
        <w:rPr/>
      </w:pPr>
      <w:r>
        <w:rPr/>
        <w:tab/>
        <w:t xml:space="preserve">A assinatura assíncrona utiliza o RabbitMq para o processamento da liberação dos documentos nos autos. O processamento pode ser observado através da fila: com.softplan.sg5.editor.finaliza-documento-assincrona, será criada automaticamente uma para cada base que estiver configurada com o RabbitMq. </w:t>
      </w:r>
    </w:p>
    <w:p>
      <w:pPr>
        <w:pStyle w:val="Standard"/>
        <w:rPr/>
      </w:pPr>
      <w:r>
        <w:rPr/>
        <w:tab/>
        <w:t>Ex.: com.softplan.sg5.editor.finaliza-documento-assincrona-sg5tint</w:t>
      </w:r>
    </w:p>
    <w:p>
      <w:pPr>
        <w:pStyle w:val="Standard"/>
        <w:rPr/>
      </w:pPr>
      <w:r>
        <w:rPr/>
        <w:t>Obs.: O RabbitMq já é para estar configurado nos clientes. Sua configuração é um pré-requisito para a utilização desta demanda.</w:t>
      </w:r>
    </w:p>
    <w:p>
      <w:pPr>
        <w:pStyle w:val="Standard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32650" cy="3521075"/>
            <wp:effectExtent l="0" t="0" r="0" b="0"/>
            <wp:wrapSquare wrapText="largest"/>
            <wp:docPr id="2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/>
      </w:pPr>
      <w:r>
        <w:rPr/>
        <w:t xml:space="preserve">Configurações utilizadas em ambiente INTERNO para realização dos testes: </w:t>
      </w:r>
    </w:p>
    <w:p>
      <w:pPr>
        <w:pStyle w:val="Standard"/>
        <w:rPr>
          <w:rStyle w:val="InternetLink1"/>
          <w:lang w:val="zxx" w:eastAsia="zxx" w:bidi="zxx"/>
        </w:rPr>
      </w:pPr>
      <w:r>
        <w:rPr/>
        <w:br/>
      </w:r>
      <w:r>
        <w:fldChar w:fldCharType="begin"/>
      </w:r>
      <w:r>
        <w:rPr>
          <w:rStyle w:val="Hyperlink"/>
          <w:lang w:val="zxx" w:eastAsia="zxx" w:bidi="zxx"/>
        </w:rPr>
        <w:instrText xml:space="preserve"> HYPERLINK "http://172.21.42.209:15672/" \l "/queues/%2F/com.softplan.sg5.editor.finaliza-documento-assincrona-sg5tint"</w:instrText>
      </w:r>
      <w:r>
        <w:rPr>
          <w:rStyle w:val="Hyperlink"/>
          <w:lang w:val="zxx" w:eastAsia="zxx" w:bidi="zxx"/>
        </w:rPr>
        <w:fldChar w:fldCharType="separate"/>
      </w:r>
      <w:r>
        <w:rPr>
          <w:rStyle w:val="Hyperlink"/>
          <w:lang w:val="zxx" w:eastAsia="zxx" w:bidi="zxx"/>
        </w:rPr>
        <w:t>RabbitMQ Management</w:t>
      </w:r>
      <w:r>
        <w:rPr>
          <w:rStyle w:val="Hyperlink"/>
          <w:lang w:val="zxx" w:eastAsia="zxx" w:bidi="zxx"/>
        </w:rPr>
        <w:fldChar w:fldCharType="end"/>
      </w:r>
      <w:r>
        <w:rPr>
          <w:rStyle w:val="InternetLink1"/>
          <w:lang w:val="zxx" w:eastAsia="zxx" w:bidi="zxx"/>
        </w:rPr>
        <w:t xml:space="preserve"> </w:t>
      </w:r>
    </w:p>
    <w:p>
      <w:pPr>
        <w:pStyle w:val="Standard"/>
        <w:rPr/>
      </w:pPr>
      <w:r>
        <w:rPr/>
        <w:br/>
        <w:t xml:space="preserve">Spcfg.ini (Servidor): </w:t>
        <w:br/>
        <w:br/>
        <w:t>[Servidor]</w:t>
      </w:r>
    </w:p>
    <w:p>
      <w:pPr>
        <w:pStyle w:val="Standard"/>
        <w:rPr/>
      </w:pPr>
      <w:r>
        <w:rPr/>
        <w:t>INT.INTEGRACAO.INTEGRACAO_HABILITADA=true</w:t>
      </w:r>
    </w:p>
    <w:p>
      <w:pPr>
        <w:pStyle w:val="Standard"/>
        <w:rPr/>
      </w:pPr>
      <w:r>
        <w:rPr/>
        <w:t>INT.INTEGRACAO.RABBIT.USUARIO=pg-develop</w:t>
      </w:r>
    </w:p>
    <w:p>
      <w:pPr>
        <w:pStyle w:val="Standard"/>
        <w:rPr/>
      </w:pPr>
      <w:r>
        <w:rPr/>
        <w:t>INT.INTEGRACAO.RABBIT.SENHA=******</w:t>
      </w:r>
    </w:p>
    <w:p>
      <w:pPr>
        <w:pStyle w:val="Standard"/>
        <w:rPr/>
      </w:pPr>
      <w:r>
        <w:rPr/>
        <w:t>INT.INTEGRACAO.RABBIT.MANAGER_API_PORT=15672</w:t>
      </w:r>
    </w:p>
    <w:p>
      <w:pPr>
        <w:pStyle w:val="Standard"/>
        <w:rPr/>
      </w:pPr>
      <w:r>
        <w:rPr/>
        <w:t>INT.INTEGRACAO.RABBIT.PORTA=61613</w:t>
      </w:r>
    </w:p>
    <w:p>
      <w:pPr>
        <w:pStyle w:val="Standard"/>
        <w:rPr/>
      </w:pPr>
      <w:r>
        <w:rPr/>
        <w:t>INT.INTEGRACAO.RABBIT.IP=172.21.42.209</w:t>
      </w:r>
    </w:p>
    <w:p>
      <w:pPr>
        <w:pStyle w:val="Standard"/>
        <w:rPr/>
      </w:pPr>
      <w:r>
        <w:rPr/>
        <w:t>INT.INTEGRACAO.RABBIT.TIMEOUT_REC=500</w:t>
      </w:r>
    </w:p>
    <w:p>
      <w:pPr>
        <w:pStyle w:val="Standard"/>
        <w:rPr/>
      </w:pPr>
      <w:r>
        <w:rPr/>
        <w:t>INT.INTEGRACAO.RABBIT.TIMEOUT_ENVIO=5500</w:t>
      </w:r>
    </w:p>
    <w:p>
      <w:pPr>
        <w:pStyle w:val="Standard"/>
        <w:rPr/>
      </w:pPr>
      <w:r>
        <w:rPr/>
        <w:t>INT.INTEGRACAO.RABBIT.OUTGOINGHEARTBEATS=60000</w:t>
      </w:r>
    </w:p>
    <w:p>
      <w:pPr>
        <w:pStyle w:val="Standard"/>
        <w:rPr/>
      </w:pPr>
      <w:r>
        <w:rPr/>
        <w:t>INT.INTEGRACAO.RABBIT.INCOMINGHEARTBEATS=0</w:t>
      </w:r>
    </w:p>
    <w:p>
      <w:pPr>
        <w:pStyle w:val="Standard"/>
        <w:rPr/>
      </w:pPr>
      <w:r>
        <w:rPr/>
      </w:r>
    </w:p>
    <w:p>
      <w:pPr>
        <w:pStyle w:val="Standard"/>
        <w:spacing w:lineRule="auto" w:line="36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Observação: Os valores acima podem sofrer alteração. </w:t>
      </w:r>
    </w:p>
    <w:p>
      <w:pPr>
        <w:pStyle w:val="Heading1"/>
        <w:ind w:hanging="0" w:star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Atualização automática do fluxo de trabalho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ab/>
        <w:t xml:space="preserve">Uma nova configuração no arquivo spcfg.ini (cliente) foi criada para habilitar a atualização automática do fluxo. Após o envio dos documentos para liberação em segundo plano a atualização do fluxo será feita de 10 em 10 segundos, ou conforme configuração (Mínimo 10 segundos). Enquanto a fila possuir documentos em processamento (Azul) e a tela for mantida sem atualizações manuais (Alterar fila, executar atividades, atualização manual e etc) a atualização automática será realizada. Caso contrário a atualização automática é cancelada e volta ao enviar novos documentos para a liberação em segundo plano.  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[FluxoTrabalho]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>TempoSegundosLiberacaoAssincrona=10</w:t>
      </w:r>
    </w:p>
    <w:p>
      <w:pPr>
        <w:pStyle w:val="Standard"/>
        <w:ind w:hanging="0" w:start="0"/>
        <w:rPr>
          <w:rFonts w:cs="Times New Roman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</w:rPr>
        <w:tab/>
      </w:r>
    </w:p>
    <w:p>
      <w:pPr>
        <w:pStyle w:val="Heading1"/>
        <w:ind w:hanging="0" w:start="0"/>
        <w:rPr/>
      </w:pPr>
      <w:bookmarkStart w:id="12" w:name="__RefHeading___Toc3539_3994948854"/>
      <w:bookmarkEnd w:id="12"/>
      <w:r>
        <w:rPr/>
        <w:t>10. Revisão</w:t>
      </w:r>
    </w:p>
    <w:tbl>
      <w:tblPr>
        <w:tblW w:w="11535" w:type="dxa"/>
        <w:jc w:val="start"/>
        <w:tblInd w:w="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303"/>
        <w:gridCol w:w="789"/>
        <w:gridCol w:w="1157"/>
        <w:gridCol w:w="2981"/>
        <w:gridCol w:w="4305"/>
      </w:tblGrid>
      <w:tr>
        <w:trPr>
          <w:trHeight w:val="594" w:hRule="atLeast"/>
        </w:trPr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Descrição</w:t>
            </w:r>
          </w:p>
        </w:tc>
        <w:tc>
          <w:tcPr>
            <w:tcW w:w="7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Versão</w:t>
            </w:r>
          </w:p>
        </w:tc>
        <w:tc>
          <w:tcPr>
            <w:tcW w:w="1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Data</w:t>
            </w:r>
          </w:p>
        </w:tc>
        <w:tc>
          <w:tcPr>
            <w:tcW w:w="29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Responsável</w:t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</w:rPr>
              <w:t>Revisor(P.O)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Elaboração do documento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27/08/2024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Jonatas Tavares da Trindade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Atualização automática do fluxo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09/09/2024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/>
              <w:t>Jonatas Tavares da Trindade</w:t>
            </w:r>
          </w:p>
        </w:tc>
      </w:tr>
      <w:tr>
        <w:trPr>
          <w:trHeight w:val="605" w:hRule="atLeast"/>
        </w:trPr>
        <w:tc>
          <w:tcPr>
            <w:tcW w:w="23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Atualização do nome da fila do SG5. Item 9 - RabbitMq</w:t>
            </w:r>
          </w:p>
        </w:tc>
        <w:tc>
          <w:tcPr>
            <w:tcW w:w="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3.0.0</w:t>
            </w:r>
          </w:p>
        </w:tc>
        <w:tc>
          <w:tcPr>
            <w:tcW w:w="11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19/09/2024</w:t>
            </w:r>
          </w:p>
        </w:tc>
        <w:tc>
          <w:tcPr>
            <w:tcW w:w="29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Thiago Machado de Souza</w:t>
            </w:r>
          </w:p>
        </w:tc>
        <w:tc>
          <w:tcPr>
            <w:tcW w:w="43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1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</w:tbl>
    <w:p>
      <w:pPr>
        <w:pStyle w:val="Standard"/>
        <w:spacing w:lineRule="auto" w:line="360" w:before="0" w:after="160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425" w:right="425" w:gutter="0" w:header="57" w:top="709" w:footer="57" w:bottom="4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swiss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Liberation Mono">
    <w:altName w:val="Courier New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227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/>
    </w:tblPr>
    <w:tblGrid>
      <w:gridCol w:w="8365"/>
      <w:gridCol w:w="2861"/>
    </w:tblGrid>
    <w:tr>
      <w:trPr>
        <w:trHeight w:val="363" w:hRule="atLeast"/>
        <w:cantSplit w:val="true"/>
      </w:trPr>
      <w:tc>
        <w:tcPr>
          <w:tcW w:w="8365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</w:tc>
      <w:tc>
        <w:tcPr>
          <w:tcW w:w="2861" w:type="dxa"/>
          <w:vMerge w:val="restart"/>
          <w:tcBorders/>
          <w:shd w:color="auto" w:fill="auto" w:val="clear"/>
          <w:vAlign w:val="bottom"/>
        </w:tcPr>
        <w:p>
          <w:pPr>
            <w:pStyle w:val="Standard"/>
            <w:widowControl w:val="false"/>
            <w:snapToGrid w:val="false"/>
            <w:spacing w:before="0" w:after="160"/>
            <w:jc w:val="center"/>
            <w:rPr/>
          </w:pPr>
          <w:r>
            <w:rPr/>
            <w:drawing>
              <wp:inline distT="0" distB="0" distL="0" distR="0">
                <wp:extent cx="1612265" cy="395605"/>
                <wp:effectExtent l="0" t="0" r="0" b="0"/>
                <wp:docPr id="3" name="Figura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40" w:hRule="atLeast"/>
        <w:cantSplit w:val="true"/>
      </w:trPr>
      <w:tc>
        <w:tcPr>
          <w:tcW w:w="8365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jc w:val="center"/>
            <w:rPr>
              <w:b/>
              <w:bCs/>
              <w:color w:val="52535B"/>
              <w:sz w:val="40"/>
              <w:szCs w:val="40"/>
            </w:rPr>
          </w:pPr>
          <w:r>
            <w:rPr>
              <w:b/>
              <w:bCs/>
              <w:color w:val="52535B"/>
              <w:sz w:val="40"/>
              <w:szCs w:val="40"/>
            </w:rPr>
            <w:t>R</w:t>
          </w:r>
          <w:r>
            <w:rPr>
              <w:b/>
              <w:bCs/>
              <w:color w:val="52535B"/>
              <w:sz w:val="40"/>
              <w:szCs w:val="40"/>
            </w:rPr>
            <w:t>OI</w:t>
          </w:r>
          <w:r>
            <w:rPr>
              <w:b/>
              <w:bCs/>
              <w:color w:val="52535B"/>
              <w:sz w:val="40"/>
              <w:szCs w:val="40"/>
            </w:rPr>
            <w:t xml:space="preserve"> – Roteiro de </w:t>
          </w:r>
          <w:r>
            <w:rPr>
              <w:b/>
              <w:bCs/>
              <w:color w:val="52535B"/>
              <w:sz w:val="40"/>
              <w:szCs w:val="40"/>
            </w:rPr>
            <w:t>implantação</w:t>
          </w:r>
        </w:p>
        <w:p>
          <w:pPr>
            <w:pStyle w:val="Standard"/>
            <w:widowControl w:val="false"/>
            <w:spacing w:lineRule="auto" w:line="240" w:before="0" w:after="0"/>
            <w:jc w:val="center"/>
            <w:rPr/>
          </w:pPr>
          <w:r>
            <w:rPr/>
          </w:r>
        </w:p>
      </w:tc>
      <w:tc>
        <w:tcPr>
          <w:tcW w:w="2861" w:type="dxa"/>
          <w:vMerge w:val="continue"/>
          <w:tcBorders/>
          <w:shd w:color="auto" w:fill="auto" w:val="clear"/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227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/>
    </w:tblPr>
    <w:tblGrid>
      <w:gridCol w:w="8365"/>
      <w:gridCol w:w="2861"/>
    </w:tblGrid>
    <w:tr>
      <w:trPr>
        <w:trHeight w:val="363" w:hRule="atLeast"/>
        <w:cantSplit w:val="true"/>
      </w:trPr>
      <w:tc>
        <w:tcPr>
          <w:tcW w:w="8365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</w:tc>
      <w:tc>
        <w:tcPr>
          <w:tcW w:w="2861" w:type="dxa"/>
          <w:vMerge w:val="restart"/>
          <w:tcBorders/>
          <w:shd w:color="auto" w:fill="auto" w:val="clear"/>
          <w:vAlign w:val="bottom"/>
        </w:tcPr>
        <w:p>
          <w:pPr>
            <w:pStyle w:val="Standard"/>
            <w:widowControl w:val="false"/>
            <w:snapToGrid w:val="false"/>
            <w:spacing w:before="0" w:after="160"/>
            <w:jc w:val="center"/>
            <w:rPr/>
          </w:pPr>
          <w:r>
            <w:rPr/>
            <w:drawing>
              <wp:inline distT="0" distB="0" distL="0" distR="0">
                <wp:extent cx="1612265" cy="395605"/>
                <wp:effectExtent l="0" t="0" r="0" b="0"/>
                <wp:docPr id="4" name="Figura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26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40" w:hRule="atLeast"/>
        <w:cantSplit w:val="true"/>
      </w:trPr>
      <w:tc>
        <w:tcPr>
          <w:tcW w:w="8365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snapToGrid w:val="false"/>
            <w:spacing w:lineRule="auto" w:line="240" w:before="0" w:after="0"/>
            <w:jc w:val="center"/>
            <w:rPr>
              <w:b/>
              <w:bCs/>
              <w:color w:val="52535B"/>
              <w:sz w:val="40"/>
              <w:szCs w:val="40"/>
            </w:rPr>
          </w:pPr>
          <w:r>
            <w:rPr>
              <w:b/>
              <w:bCs/>
              <w:color w:val="52535B"/>
              <w:sz w:val="40"/>
              <w:szCs w:val="40"/>
            </w:rPr>
            <w:t>R</w:t>
          </w:r>
          <w:r>
            <w:rPr>
              <w:b/>
              <w:bCs/>
              <w:color w:val="52535B"/>
              <w:sz w:val="40"/>
              <w:szCs w:val="40"/>
            </w:rPr>
            <w:t>OI</w:t>
          </w:r>
          <w:r>
            <w:rPr>
              <w:b/>
              <w:bCs/>
              <w:color w:val="52535B"/>
              <w:sz w:val="40"/>
              <w:szCs w:val="40"/>
            </w:rPr>
            <w:t xml:space="preserve"> – Roteiro de </w:t>
          </w:r>
          <w:r>
            <w:rPr>
              <w:b/>
              <w:bCs/>
              <w:color w:val="52535B"/>
              <w:sz w:val="40"/>
              <w:szCs w:val="40"/>
            </w:rPr>
            <w:t>implantação</w:t>
          </w:r>
        </w:p>
        <w:p>
          <w:pPr>
            <w:pStyle w:val="Standard"/>
            <w:widowControl w:val="false"/>
            <w:spacing w:lineRule="auto" w:line="240" w:before="0" w:after="0"/>
            <w:jc w:val="center"/>
            <w:rPr/>
          </w:pPr>
          <w:r>
            <w:rPr/>
          </w:r>
        </w:p>
      </w:tc>
      <w:tc>
        <w:tcPr>
          <w:tcW w:w="2861" w:type="dxa"/>
          <w:vMerge w:val="continue"/>
          <w:tcBorders/>
          <w:shd w:color="auto" w:fill="auto" w:val="clear"/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auto" w:line="240" w:before="120" w:after="120"/>
      <w:outlineLvl w:val="0"/>
    </w:pPr>
    <w:rPr>
      <w:rFonts w:eastAsia="Times New Roman"/>
      <w:b/>
      <w:bCs/>
      <w:caps/>
      <w:color w:val="000000"/>
      <w:sz w:val="2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lineRule="auto" w:line="240" w:before="120" w:after="120"/>
      <w:outlineLvl w:val="1"/>
    </w:pPr>
    <w:rPr>
      <w:rFonts w:eastAsia="Times New Roman" w:cs="Times New Roman"/>
      <w:b/>
      <w:bCs/>
      <w:iCs/>
      <w:caps/>
      <w:sz w:val="24"/>
      <w:szCs w:val="28"/>
    </w:rPr>
  </w:style>
  <w:style w:type="paragraph" w:styleId="Heading3">
    <w:name w:val="Heading 3"/>
    <w:basedOn w:val="Standard"/>
    <w:next w:val="Standard"/>
    <w:qFormat/>
    <w:pPr>
      <w:keepNext w:val="true"/>
      <w:spacing w:lineRule="auto" w:line="240" w:before="120" w:after="120"/>
      <w:outlineLvl w:val="2"/>
    </w:pPr>
    <w:rPr>
      <w:rFonts w:eastAsia="Times New Roman" w:cs="Times New Roman"/>
      <w:b/>
      <w:bCs/>
      <w:sz w:val="24"/>
      <w:szCs w:val="26"/>
    </w:rPr>
  </w:style>
  <w:style w:type="paragraph" w:styleId="Heading4">
    <w:name w:val="Heading 4"/>
    <w:basedOn w:val="Standard"/>
    <w:next w:val="Standard"/>
    <w:qFormat/>
    <w:pPr>
      <w:keepNext w:val="true"/>
      <w:spacing w:lineRule="auto" w:line="240" w:before="120" w:after="120"/>
      <w:outlineLvl w:val="3"/>
    </w:pPr>
    <w:rPr>
      <w:rFonts w:eastAsia="Times New Roman" w:cs="Times New Roman"/>
      <w:b/>
      <w:bCs/>
      <w:sz w:val="24"/>
      <w:szCs w:val="28"/>
    </w:rPr>
  </w:style>
  <w:style w:type="paragraph" w:styleId="Heading5">
    <w:name w:val="Heading 5"/>
    <w:basedOn w:val="Standard"/>
    <w:next w:val="Standard"/>
    <w:qFormat/>
    <w:pPr>
      <w:spacing w:lineRule="auto" w:line="240" w:before="120" w:after="120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 w:eastAsia="Times New Roman" w:cs="Cambri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Symbol" w:cs="OpenSymbol, 'Arial Unicode MS'"/>
    </w:rPr>
  </w:style>
  <w:style w:type="character" w:styleId="WW8Num3z1">
    <w:name w:val="WW8Num3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eastAsia="Symbol" w:cs="Symbol"/>
    </w:rPr>
  </w:style>
  <w:style w:type="character" w:styleId="WW8Num8z1">
    <w:name w:val="WW8Num8z1"/>
    <w:qFormat/>
    <w:rPr>
      <w:rFonts w:ascii="Courier New" w:hAnsi="Courier New" w:eastAsia="Courier New" w:cs="Courier New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eastAsia="Symbol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eastAsia="Symbol" w:cs="Symbol"/>
    </w:rPr>
  </w:style>
  <w:style w:type="character" w:styleId="WW8Num14z1">
    <w:name w:val="WW8Num14z1"/>
    <w:qFormat/>
    <w:rPr>
      <w:rFonts w:ascii="Courier New" w:hAnsi="Courier New" w:eastAsia="Courier New" w:cs="Courier New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eastAsia="Symbol" w:cs="Symbol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eastAsia="Symbol" w:cs="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eastAsia="Symbol" w:cs="Symbo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eastAsia="Symbol" w:cs="Symbol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Symbol" w:cs="Symbo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qFormat/>
    <w:rPr>
      <w:sz w:val="22"/>
      <w:szCs w:val="22"/>
    </w:rPr>
  </w:style>
  <w:style w:type="character" w:styleId="RodapChar">
    <w:name w:val="Rodapé Char"/>
    <w:qFormat/>
    <w:rPr>
      <w:sz w:val="22"/>
      <w:szCs w:val="22"/>
    </w:rPr>
  </w:style>
  <w:style w:type="character" w:styleId="Ttulo2Char">
    <w:name w:val="Título 2 Char"/>
    <w:qFormat/>
    <w:rPr>
      <w:rFonts w:eastAsia="Times New Roman" w:cs="Times New Roman"/>
      <w:b/>
      <w:bCs/>
      <w:iCs/>
      <w:caps/>
      <w:sz w:val="24"/>
      <w:szCs w:val="28"/>
    </w:rPr>
  </w:style>
  <w:style w:type="character" w:styleId="Ttulo1Char">
    <w:name w:val="Título 1 Char"/>
    <w:qFormat/>
    <w:rPr>
      <w:rFonts w:eastAsia="Times New Roman"/>
      <w:b/>
      <w:bCs/>
      <w:caps/>
      <w:color w:val="000000"/>
      <w:kern w:val="2"/>
      <w:sz w:val="28"/>
      <w:szCs w:val="32"/>
      <w:shd w:fill="D5DAD8" w:val="clear"/>
    </w:rPr>
  </w:style>
  <w:style w:type="character" w:styleId="Ttulo3Char">
    <w:name w:val="Título 3 Char"/>
    <w:qFormat/>
    <w:rPr>
      <w:rFonts w:eastAsia="Times New Roman" w:cs="Times New Roman"/>
      <w:b/>
      <w:bCs/>
      <w:sz w:val="24"/>
      <w:szCs w:val="26"/>
    </w:rPr>
  </w:style>
  <w:style w:type="character" w:styleId="Ttulo4Char">
    <w:name w:val="Título 4 Char"/>
    <w:qFormat/>
    <w:rPr>
      <w:rFonts w:eastAsia="Times New Roman" w:cs="Times New Roman"/>
      <w:b/>
      <w:bCs/>
      <w:sz w:val="24"/>
      <w:szCs w:val="28"/>
    </w:rPr>
  </w:style>
  <w:style w:type="character" w:styleId="Ttulo5Char">
    <w:name w:val="Título 5 Char"/>
    <w:qFormat/>
    <w:rPr>
      <w:rFonts w:eastAsia="Times New Roman" w:cs="Times New Roman"/>
      <w:b/>
      <w:bCs/>
      <w:iCs/>
      <w:sz w:val="24"/>
      <w:szCs w:val="26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Vnculodendice">
    <w:name w:val="Vínculo de índice"/>
    <w:qFormat/>
    <w:rPr/>
  </w:style>
  <w:style w:type="character" w:styleId="Marcadores">
    <w:name w:val="Marcadore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Cdigo-fonte">
    <w:name w:val="Código-fonte"/>
    <w:qFormat/>
    <w:rPr>
      <w:rFonts w:ascii="Liberation Mono" w:hAnsi="Liberation Mono" w:eastAsia="NSimSun" w:cs="Liberation Mono"/>
    </w:rPr>
  </w:style>
  <w:style w:type="character" w:styleId="Smbolosdenumerao">
    <w:name w:val="Símbolos de numeração"/>
    <w:qFormat/>
    <w:rPr/>
  </w:style>
  <w:style w:type="character" w:styleId="LineNumbering">
    <w:name w:val="Line Numbering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47" w:before="0" w:after="160"/>
      <w:jc w:val="star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">
    <w:name w:val="Títu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Header">
    <w:name w:val="Head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Standar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tLeast" w:line="100" w:before="0" w:after="0"/>
      <w:jc w:val="start"/>
      <w:textAlignment w:val="baseline"/>
    </w:pPr>
    <w:rPr>
      <w:rFonts w:ascii="Calibri" w:hAnsi="Calibri" w:eastAsia="Times New Roman" w:cs="Calibri"/>
      <w:color w:val="52535B"/>
      <w:kern w:val="2"/>
      <w:sz w:val="24"/>
      <w:szCs w:val="20"/>
      <w:lang w:val="pt-BR" w:eastAsia="zh-CN" w:bidi="ar-SA"/>
    </w:rPr>
  </w:style>
  <w:style w:type="paragraph" w:styleId="Contents1">
    <w:name w:val="Contents 1"/>
    <w:basedOn w:val="Standard"/>
    <w:next w:val="Standard"/>
    <w:qFormat/>
    <w:pPr/>
    <w:rPr/>
  </w:style>
  <w:style w:type="paragraph" w:styleId="Contents2">
    <w:name w:val="Contents 2"/>
    <w:basedOn w:val="Standard"/>
    <w:next w:val="Standard"/>
    <w:qFormat/>
    <w:pPr>
      <w:ind w:hanging="0" w:start="240"/>
    </w:pPr>
    <w:rPr/>
  </w:style>
  <w:style w:type="paragraph" w:styleId="Contents3">
    <w:name w:val="Contents 3"/>
    <w:basedOn w:val="Standard"/>
    <w:next w:val="Standard"/>
    <w:qFormat/>
    <w:pPr>
      <w:ind w:hanging="0" w:start="480"/>
    </w:pPr>
    <w:rPr/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Liberation Serif" w:hAnsi="Liberation Serif" w:eastAsia="SimSun, 宋体" w:cs="Lucida Sans"/>
      <w:color w:val="auto"/>
      <w:kern w:val="2"/>
      <w:sz w:val="24"/>
      <w:szCs w:val="24"/>
      <w:lang w:val="pt-BR" w:eastAsia="zh-CN" w:bidi="hi-IN"/>
    </w:rPr>
  </w:style>
  <w:style w:type="paragraph" w:styleId="TtulodeCampo">
    <w:name w:val="Título de Campo"/>
    <w:basedOn w:val="Standard"/>
    <w:qFormat/>
    <w:pPr>
      <w:spacing w:lineRule="auto" w:line="240" w:before="60" w:after="60"/>
    </w:pPr>
    <w:rPr>
      <w:rFonts w:ascii="Arial" w:hAnsi="Arial" w:eastAsia="Times New Roman" w:cs="Arial"/>
      <w:b/>
      <w:i/>
      <w:szCs w:val="20"/>
      <w:lang w:val="pt-PT"/>
    </w:rPr>
  </w:style>
  <w:style w:type="paragraph" w:styleId="Campo">
    <w:name w:val="Campo"/>
    <w:basedOn w:val="Standard"/>
    <w:qFormat/>
    <w:pPr>
      <w:spacing w:lineRule="auto" w:line="240" w:before="60" w:after="60"/>
    </w:pPr>
    <w:rPr>
      <w:rFonts w:ascii="Arial" w:hAnsi="Arial" w:eastAsia="Times New Roman" w:cs="Arial"/>
      <w:sz w:val="16"/>
      <w:szCs w:val="20"/>
    </w:rPr>
  </w:style>
  <w:style w:type="paragraph" w:styleId="Citaes">
    <w:name w:val="Citações"/>
    <w:basedOn w:val="Standard"/>
    <w:qFormat/>
    <w:pPr>
      <w:spacing w:before="0" w:after="283"/>
      <w:ind w:hanging="0" w:start="567" w:end="567"/>
    </w:pPr>
    <w:rPr/>
  </w:style>
  <w:style w:type="paragraph" w:styleId="Title">
    <w:name w:val="Title"/>
    <w:basedOn w:val="Ttulo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tulo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BlockText">
    <w:name w:val="Block Text"/>
    <w:qFormat/>
    <w:pPr>
      <w:widowControl/>
      <w:suppressAutoHyphens w:val="true"/>
      <w:overflowPunct w:val="true"/>
      <w:bidi w:val="0"/>
      <w:spacing w:lineRule="auto" w:line="360" w:before="0" w:after="0"/>
      <w:ind w:firstLine="2835"/>
      <w:jc w:val="both"/>
      <w:textAlignment w:val="baseline"/>
    </w:pPr>
    <w:rPr>
      <w:rFonts w:ascii="Arial" w:hAnsi="Arial" w:eastAsia="Wingdings" w:cs="Symbol"/>
      <w:color w:val="000000"/>
      <w:kern w:val="2"/>
      <w:sz w:val="24"/>
      <w:szCs w:val="24"/>
      <w:lang w:val="pt-BR" w:eastAsia="zh-CN" w:bidi="hi-IN"/>
    </w:rPr>
  </w:style>
  <w:style w:type="paragraph" w:styleId="Novoestilo2-Ementa">
    <w:name w:val="Novo estilo 2 - Ementa"/>
    <w:qFormat/>
    <w:pPr>
      <w:widowControl/>
      <w:suppressAutoHyphens w:val="true"/>
      <w:overflowPunct w:val="true"/>
      <w:bidi w:val="0"/>
      <w:spacing w:before="0" w:after="0"/>
      <w:ind w:hanging="0" w:start="2835"/>
      <w:jc w:val="both"/>
      <w:textAlignment w:val="baseline"/>
    </w:pPr>
    <w:rPr>
      <w:rFonts w:ascii="Times New Roman" w:hAnsi="Times New Roman" w:eastAsia="Wingdings" w:cs="Symbol"/>
      <w:b/>
      <w:color w:val="auto"/>
      <w:kern w:val="2"/>
      <w:sz w:val="22"/>
      <w:szCs w:val="24"/>
      <w:lang w:val="pt-BR" w:eastAsia="zh-CN" w:bidi="hi-IN"/>
    </w:rPr>
  </w:style>
  <w:style w:type="paragraph" w:styleId="NovoestilodaEmenta">
    <w:name w:val="Novo estilo da Ementa"/>
    <w:qFormat/>
    <w:pPr>
      <w:widowControl/>
      <w:suppressAutoHyphens w:val="true"/>
      <w:overflowPunct w:val="true"/>
      <w:bidi w:val="0"/>
      <w:spacing w:lineRule="auto" w:line="360" w:before="0" w:after="0"/>
      <w:ind w:hanging="0" w:start="2835"/>
      <w:jc w:val="both"/>
      <w:textAlignment w:val="baseline"/>
    </w:pPr>
    <w:rPr>
      <w:rFonts w:ascii="Times New Roman" w:hAnsi="Times New Roman" w:eastAsia="Wingdings" w:cs="Symbol"/>
      <w:b/>
      <w:i/>
      <w:color w:val="000000"/>
      <w:kern w:val="2"/>
      <w:sz w:val="22"/>
      <w:szCs w:val="24"/>
      <w:shd w:fill="C0FFFF" w:val="clear"/>
      <w:lang w:val="pt-BR" w:eastAsia="zh-CN" w:bidi="hi-IN"/>
    </w:rPr>
  </w:style>
  <w:style w:type="paragraph" w:styleId="Novoestilo48">
    <w:name w:val="Novo estilo 48"/>
    <w:qFormat/>
    <w:pPr>
      <w:widowControl/>
      <w:suppressAutoHyphens w:val="true"/>
      <w:overflowPunct w:val="true"/>
      <w:bidi w:val="0"/>
      <w:spacing w:before="0" w:after="0"/>
      <w:jc w:val="start"/>
      <w:textAlignment w:val="baseline"/>
    </w:pPr>
    <w:rPr>
      <w:rFonts w:ascii="Times New Roman" w:hAnsi="Times New Roman" w:eastAsia="Wingdings" w:cs="Symbol"/>
      <w:color w:val="auto"/>
      <w:kern w:val="2"/>
      <w:sz w:val="32"/>
      <w:szCs w:val="24"/>
      <w:lang w:val="pt-BR" w:eastAsia="zh-CN" w:bidi="hi-IN"/>
    </w:rPr>
  </w:style>
  <w:style w:type="paragraph" w:styleId="arial">
    <w:name w:val="arial"/>
    <w:qFormat/>
    <w:pPr>
      <w:widowControl/>
      <w:suppressAutoHyphens w:val="true"/>
      <w:overflowPunct w:val="true"/>
      <w:bidi w:val="0"/>
      <w:spacing w:lineRule="atLeast" w:line="0" w:before="0" w:after="0"/>
      <w:ind w:firstLine="1417"/>
      <w:jc w:val="both"/>
      <w:textAlignment w:val="baseline"/>
    </w:pPr>
    <w:rPr>
      <w:rFonts w:ascii="Times New Roman" w:hAnsi="Times New Roman" w:eastAsia="Wingdings" w:cs="Symbol"/>
      <w:color w:val="auto"/>
      <w:kern w:val="2"/>
      <w:sz w:val="24"/>
      <w:szCs w:val="24"/>
      <w:lang w:val="pt-BR" w:eastAsia="zh-CN" w:bidi="hi-IN"/>
    </w:rPr>
  </w:style>
  <w:style w:type="paragraph" w:styleId="citaoementa">
    <w:name w:val="citação/ementa"/>
    <w:qFormat/>
    <w:pPr>
      <w:widowControl/>
      <w:suppressAutoHyphens w:val="true"/>
      <w:overflowPunct w:val="true"/>
      <w:bidi w:val="0"/>
      <w:spacing w:lineRule="auto" w:line="360" w:before="0" w:after="0"/>
      <w:ind w:hanging="0" w:start="1417"/>
      <w:jc w:val="both"/>
      <w:textAlignment w:val="baseline"/>
    </w:pPr>
    <w:rPr>
      <w:rFonts w:ascii="Verdana" w:hAnsi="Verdana" w:eastAsia="Wingdings" w:cs="Symbol"/>
      <w:color w:val="auto"/>
      <w:kern w:val="2"/>
      <w:sz w:val="18"/>
      <w:szCs w:val="24"/>
      <w:lang w:val="pt-BR" w:eastAsia="zh-CN" w:bidi="hi-IN"/>
    </w:rPr>
  </w:style>
  <w:style w:type="paragraph" w:styleId="ListParagraph">
    <w:name w:val="List Paragraph"/>
    <w:basedOn w:val="Standard"/>
    <w:qFormat/>
    <w:pPr>
      <w:suppressAutoHyphens w:val="false"/>
      <w:spacing w:before="0" w:after="0"/>
      <w:ind w:hanging="0" w:start="720"/>
    </w:pPr>
    <w:rPr>
      <w:rFonts w:ascii="Times New Roman" w:hAnsi="Times New Roman" w:eastAsia="Times New Roman" w:cs="Times New Roman"/>
      <w:sz w:val="20"/>
      <w:szCs w:val="24"/>
    </w:rPr>
  </w:style>
  <w:style w:type="paragraph" w:styleId="Figura">
    <w:name w:val="Figura"/>
    <w:basedOn w:val="caption1"/>
    <w:qFormat/>
    <w:pPr/>
    <w:rPr/>
  </w:style>
  <w:style w:type="paragraph" w:styleId="Textoprformatado">
    <w:name w:val="Texto préformatado"/>
    <w:basedOn w:val="Standard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tedodoquadro">
    <w:name w:val="Conteúdo do quadro"/>
    <w:basedOn w:val="Standard"/>
    <w:qFormat/>
    <w:pPr/>
    <w:rPr/>
  </w:style>
  <w:style w:type="paragraph" w:styleId="Ttulo10">
    <w:name w:val="Título 10"/>
    <w:basedOn w:val="Ttulo"/>
    <w:next w:val="Textbody"/>
    <w:qFormat/>
    <w:pPr>
      <w:spacing w:before="60" w:after="60"/>
    </w:pPr>
    <w:rPr>
      <w:b/>
      <w:bCs/>
    </w:rPr>
  </w:style>
  <w:style w:type="paragraph" w:styleId="TOC1">
    <w:name w:val="TOC 1"/>
    <w:basedOn w:val="ndice"/>
    <w:pPr>
      <w:tabs>
        <w:tab w:val="clear" w:pos="720"/>
        <w:tab w:val="right" w:pos="11390" w:leader="dot"/>
      </w:tabs>
      <w:ind w:hanging="0" w:start="0"/>
    </w:pPr>
    <w:rPr/>
  </w:style>
  <w:style w:type="numbering" w:styleId="Semlista">
    <w:name w:val="Sem lista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LibreOffice/24.2.5.2$Windows_X86_64 LibreOffice_project/bffef4ea93e59bebbeaf7f431bb02b1a39ee8a59</Application>
  <AppVersion>15.0000</AppVersion>
  <Pages>7</Pages>
  <Words>820</Words>
  <Characters>5461</Characters>
  <CharactersWithSpaces>6208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2023-03-01T11:27:00Z</dcterms:created>
  <dc:creator/>
  <dc:description/>
  <dc:language>pt-BR</dc:language>
  <cp:lastModifiedBy/>
  <dcterms:modified xsi:type="dcterms:W3CDTF">2024-09-16T08:57:39Z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